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Weiterentwicklung und Ausarbeitung eines im Rahmen einer Mehrfachbeauftragung erarbeiteten Entwurfs für zwei Teilgebiete der Stadtgrabenpromenade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2026/52-6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Für die o.g. Maßnahme sollen die Planungsleistungen der Freianlagenplanung gemäß §§ 38 ff. HOAI im
Verhandlungsverfahren mit Teilnahmewettbewerb nach § 17 VgV vergeben werden.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